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FE845E3" w14:textId="6FC1DA02" w:rsidR="006959CD" w:rsidRPr="00EF06FA" w:rsidRDefault="006959CD" w:rsidP="006959CD">
      <w:pPr>
        <w:jc w:val="center"/>
        <w:rPr>
          <w:rFonts w:cstheme="minorHAnsi"/>
          <w:b/>
          <w:sz w:val="24"/>
          <w:szCs w:val="24"/>
        </w:rPr>
      </w:pPr>
      <w:bookmarkStart w:id="0" w:name="_GoBack"/>
      <w:bookmarkEnd w:id="0"/>
      <w:r w:rsidRPr="00EF06FA">
        <w:rPr>
          <w:rFonts w:cstheme="minorHAnsi"/>
          <w:b/>
          <w:sz w:val="24"/>
          <w:szCs w:val="24"/>
        </w:rPr>
        <w:t xml:space="preserve">OPIS PRZEDMIOTU ZAMÓWIENIA </w:t>
      </w:r>
    </w:p>
    <w:p w14:paraId="59B8DD16" w14:textId="278C18BF" w:rsidR="00811907" w:rsidRPr="00EF06FA" w:rsidRDefault="00EF06FA" w:rsidP="00EF06FA">
      <w:pPr>
        <w:rPr>
          <w:rFonts w:cstheme="minorHAnsi"/>
          <w:b/>
          <w:i/>
          <w:sz w:val="24"/>
          <w:szCs w:val="24"/>
        </w:rPr>
      </w:pPr>
      <w:r>
        <w:rPr>
          <w:rFonts w:cstheme="minorHAnsi"/>
          <w:b/>
          <w:i/>
          <w:sz w:val="24"/>
          <w:szCs w:val="24"/>
        </w:rPr>
        <w:t xml:space="preserve">ZADANIE 1: </w:t>
      </w:r>
      <w:r w:rsidR="008039CA" w:rsidRPr="00EF06FA">
        <w:rPr>
          <w:rFonts w:cstheme="minorHAnsi"/>
          <w:b/>
          <w:i/>
          <w:sz w:val="24"/>
          <w:szCs w:val="24"/>
        </w:rPr>
        <w:t>Biblioteki do sekwencjonowania NGS kompatybilne z sekwenatorem MiniSeq/MiSeq/</w:t>
      </w:r>
      <w:r w:rsidR="008039CA" w:rsidRPr="00EF06FA">
        <w:rPr>
          <w:rFonts w:cstheme="minorHAnsi"/>
          <w:b/>
          <w:bCs/>
          <w:i/>
          <w:sz w:val="24"/>
          <w:szCs w:val="24"/>
        </w:rPr>
        <w:t xml:space="preserve">NextSeq 550Dx </w:t>
      </w:r>
      <w:r w:rsidR="008039CA" w:rsidRPr="00EF06FA">
        <w:rPr>
          <w:rFonts w:cstheme="minorHAnsi"/>
          <w:b/>
          <w:i/>
          <w:sz w:val="24"/>
          <w:szCs w:val="24"/>
        </w:rPr>
        <w:t>Illumina lub równoważne</w:t>
      </w:r>
      <w:r w:rsidR="005159CD" w:rsidRPr="00EF06FA">
        <w:rPr>
          <w:rFonts w:cstheme="minorHAnsi"/>
          <w:b/>
          <w:i/>
          <w:sz w:val="24"/>
          <w:szCs w:val="24"/>
        </w:rPr>
        <w:t xml:space="preserve"> – analiza próbek germinalnych</w:t>
      </w:r>
    </w:p>
    <w:tbl>
      <w:tblPr>
        <w:tblStyle w:val="Tabela-Siatka"/>
        <w:tblpPr w:leftFromText="141" w:rightFromText="141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562"/>
        <w:gridCol w:w="3828"/>
        <w:gridCol w:w="9497"/>
      </w:tblGrid>
      <w:tr w:rsidR="006959CD" w:rsidRPr="00EF06FA" w14:paraId="6312D274" w14:textId="77777777" w:rsidTr="00A129B3">
        <w:tc>
          <w:tcPr>
            <w:tcW w:w="562" w:type="dxa"/>
            <w:vAlign w:val="center"/>
          </w:tcPr>
          <w:p w14:paraId="24068B75" w14:textId="77777777" w:rsidR="006959CD" w:rsidRPr="00EF06FA" w:rsidRDefault="006959CD" w:rsidP="00A129B3">
            <w:pPr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</w:pPr>
            <w:r w:rsidRPr="00EF06FA"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  <w:t xml:space="preserve">Lp. </w:t>
            </w:r>
          </w:p>
        </w:tc>
        <w:tc>
          <w:tcPr>
            <w:tcW w:w="3828" w:type="dxa"/>
          </w:tcPr>
          <w:p w14:paraId="2A20C1A6" w14:textId="77777777" w:rsidR="006959CD" w:rsidRPr="00EF06FA" w:rsidRDefault="006959CD" w:rsidP="00A129B3">
            <w:pPr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</w:pPr>
            <w:r w:rsidRPr="00EF06FA"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  <w:t xml:space="preserve">Opis przedmiotu zamówienia </w:t>
            </w:r>
          </w:p>
        </w:tc>
        <w:tc>
          <w:tcPr>
            <w:tcW w:w="9497" w:type="dxa"/>
            <w:vAlign w:val="center"/>
          </w:tcPr>
          <w:p w14:paraId="45B1D558" w14:textId="77777777" w:rsidR="006959CD" w:rsidRPr="00EF06FA" w:rsidRDefault="006959CD" w:rsidP="00A129B3">
            <w:pPr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</w:pPr>
            <w:r w:rsidRPr="00EF06FA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 xml:space="preserve">Opis przedmiotu zamówienia </w:t>
            </w:r>
          </w:p>
        </w:tc>
      </w:tr>
      <w:tr w:rsidR="006959CD" w:rsidRPr="00EF06FA" w14:paraId="770FAE19" w14:textId="77777777" w:rsidTr="00A129B3">
        <w:tc>
          <w:tcPr>
            <w:tcW w:w="562" w:type="dxa"/>
            <w:vAlign w:val="center"/>
          </w:tcPr>
          <w:p w14:paraId="6420A60C" w14:textId="77777777" w:rsidR="006959CD" w:rsidRPr="00EF06FA" w:rsidRDefault="006959CD" w:rsidP="00A129B3">
            <w:pPr>
              <w:rPr>
                <w:rFonts w:asciiTheme="majorHAnsi" w:eastAsia="Times New Roman" w:hAnsiTheme="majorHAnsi" w:cstheme="majorHAnsi"/>
                <w:sz w:val="24"/>
                <w:szCs w:val="24"/>
                <w:lang w:val="en-US" w:eastAsia="pl-PL"/>
              </w:rPr>
            </w:pPr>
            <w:r w:rsidRPr="00EF06FA">
              <w:rPr>
                <w:rFonts w:asciiTheme="majorHAnsi" w:eastAsia="Times New Roman" w:hAnsiTheme="majorHAnsi" w:cstheme="majorHAnsi"/>
                <w:sz w:val="24"/>
                <w:szCs w:val="24"/>
                <w:lang w:val="en-US" w:eastAsia="pl-PL"/>
              </w:rPr>
              <w:t>1</w:t>
            </w:r>
          </w:p>
        </w:tc>
        <w:tc>
          <w:tcPr>
            <w:tcW w:w="3828" w:type="dxa"/>
            <w:vAlign w:val="center"/>
          </w:tcPr>
          <w:p w14:paraId="538F0881" w14:textId="7BAFA4BE" w:rsidR="006959CD" w:rsidRPr="00EF06FA" w:rsidRDefault="006959CD" w:rsidP="00A129B3">
            <w:pPr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</w:pPr>
            <w:r w:rsidRPr="00EF06FA">
              <w:rPr>
                <w:rFonts w:asciiTheme="majorHAnsi" w:hAnsiTheme="majorHAnsi" w:cstheme="majorHAnsi"/>
                <w:sz w:val="24"/>
                <w:szCs w:val="24"/>
              </w:rPr>
              <w:t>Biblioteki do sekwencjonowania NGS kompatybilne z sekwenatorem MiniSeq</w:t>
            </w:r>
            <w:r w:rsidR="004C0C5D" w:rsidRPr="00EF06FA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>/</w:t>
            </w:r>
            <w:r w:rsidR="008039CA" w:rsidRPr="00EF06FA">
              <w:rPr>
                <w:rFonts w:asciiTheme="majorHAnsi" w:hAnsiTheme="majorHAnsi" w:cstheme="majorHAnsi"/>
                <w:sz w:val="24"/>
                <w:szCs w:val="24"/>
              </w:rPr>
              <w:t xml:space="preserve"> MiSeq</w:t>
            </w:r>
            <w:r w:rsidR="008039CA" w:rsidRPr="00EF06FA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>/</w:t>
            </w:r>
            <w:r w:rsidR="004C0C5D" w:rsidRPr="00EF06FA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>NextSeq 550Dx</w:t>
            </w:r>
            <w:r w:rsidRPr="00EF06FA">
              <w:rPr>
                <w:rFonts w:asciiTheme="majorHAnsi" w:hAnsiTheme="majorHAnsi" w:cstheme="majorHAnsi"/>
                <w:sz w:val="24"/>
                <w:szCs w:val="24"/>
              </w:rPr>
              <w:t xml:space="preserve"> Illumina</w:t>
            </w:r>
          </w:p>
        </w:tc>
        <w:tc>
          <w:tcPr>
            <w:tcW w:w="9497" w:type="dxa"/>
            <w:vAlign w:val="center"/>
          </w:tcPr>
          <w:p w14:paraId="31461727" w14:textId="044673D5" w:rsidR="006959CD" w:rsidRPr="00EF06FA" w:rsidRDefault="006959CD" w:rsidP="00A129B3">
            <w:pPr>
              <w:jc w:val="both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EF06FA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>Zestaw do przygotowania biblioteki wzbogacanej do sekwencjonowania metodą nowej generacji z zastosowaniem sekwenatora MiniSeq/</w:t>
            </w:r>
            <w:r w:rsidR="008039CA" w:rsidRPr="00EF06FA">
              <w:rPr>
                <w:rFonts w:asciiTheme="majorHAnsi" w:hAnsiTheme="majorHAnsi" w:cstheme="majorHAnsi"/>
                <w:sz w:val="24"/>
                <w:szCs w:val="24"/>
              </w:rPr>
              <w:t>MiSeq</w:t>
            </w:r>
            <w:r w:rsidR="008039CA" w:rsidRPr="00EF06FA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>/</w:t>
            </w:r>
            <w:r w:rsidRPr="00EF06FA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 xml:space="preserve">NextSeq 550Dx Illumina. Zestaw do oznaczania zmian w DNA z krwi obwodowej. Zestaw powinien umożliwić pulowanie próbek w ilości </w:t>
            </w:r>
            <w:r w:rsidRPr="00EF06FA">
              <w:rPr>
                <w:rFonts w:asciiTheme="majorHAnsi" w:hAnsiTheme="majorHAnsi" w:cstheme="majorHAnsi"/>
                <w:sz w:val="24"/>
                <w:szCs w:val="24"/>
              </w:rPr>
              <w:t xml:space="preserve">16, 24, 48, 96, 192, 384 </w:t>
            </w:r>
            <w:r w:rsidRPr="00EF06FA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 xml:space="preserve">sztuk podczas jednej reakcji a w całości powinien </w:t>
            </w:r>
            <w:r w:rsidR="008039CA" w:rsidRPr="00EF06FA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>umożliwić wykonanie minimum 5800</w:t>
            </w:r>
            <w:r w:rsidRPr="00EF06FA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 xml:space="preserve"> </w:t>
            </w:r>
            <w:r w:rsidR="008039CA" w:rsidRPr="00EF06FA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>próbek a maksimum 6000</w:t>
            </w:r>
            <w:r w:rsidRPr="00EF06FA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 xml:space="preserve"> próbek. Planowane pokrycie zestawu 100X dla min. 90% sekwencji celowanej. Sondy dla wszystkich eksonów badanych genów, na zakładki na introny przed i po każdym eksonem o długości zakładki min. 20 bp. Zestaw powinien umożliwić sekwencjonowanie minimalnego panelu genów podanych poniżej i może zawierać większą liczbę genów. Zamawiający dopuszcza zarówno gotowy produkt jak i możliwo</w:t>
            </w:r>
            <w:r w:rsidR="008039CA" w:rsidRPr="00EF06FA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>ść przygotowania produktu typu „custom”</w:t>
            </w:r>
            <w:r w:rsidRPr="00EF06FA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 xml:space="preserve"> pod warunkiem spełnienia wszystkich wymaganych kryteriów. </w:t>
            </w:r>
            <w:r w:rsidRPr="00EF06FA">
              <w:rPr>
                <w:rFonts w:asciiTheme="majorHAnsi" w:eastAsia="Times New Roman" w:hAnsiTheme="majorHAnsi" w:cstheme="majorHAnsi"/>
                <w:b/>
                <w:color w:val="000000"/>
                <w:sz w:val="24"/>
                <w:szCs w:val="24"/>
                <w:lang w:eastAsia="pl-PL"/>
              </w:rPr>
              <w:t>Zestaw umożliwia dołożenie sond w trakcie trwania umowy w miejscach, które będą wykazywały niższe pokrycie oraz dołożenie sond dla kolejnych genów aż do łącz</w:t>
            </w:r>
            <w:r w:rsidR="005159CD" w:rsidRPr="00EF06FA">
              <w:rPr>
                <w:rFonts w:asciiTheme="majorHAnsi" w:eastAsia="Times New Roman" w:hAnsiTheme="majorHAnsi" w:cstheme="majorHAnsi"/>
                <w:b/>
                <w:color w:val="000000"/>
                <w:sz w:val="24"/>
                <w:szCs w:val="24"/>
                <w:lang w:eastAsia="pl-PL"/>
              </w:rPr>
              <w:t>nego rozmiaru panelu równego min 450</w:t>
            </w:r>
            <w:r w:rsidRPr="00EF06FA">
              <w:rPr>
                <w:rFonts w:asciiTheme="majorHAnsi" w:eastAsia="Times New Roman" w:hAnsiTheme="majorHAnsi" w:cstheme="majorHAnsi"/>
                <w:b/>
                <w:color w:val="000000"/>
                <w:sz w:val="24"/>
                <w:szCs w:val="24"/>
                <w:lang w:eastAsia="pl-PL"/>
              </w:rPr>
              <w:t xml:space="preserve"> tys pz. </w:t>
            </w:r>
            <w:r w:rsidRPr="00EF06FA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 xml:space="preserve">Zestaw powinien zawierać wszystkie odczynniki niezbędne do przeprowadzania reakcji oraz kulki magnetyczne do oczyszczania. Minimalny zestaw genów przeznaczonych do analizy sekwencji jaki powinien zawierać produkt: </w:t>
            </w:r>
            <w:r w:rsidR="008039CA" w:rsidRPr="00EF06FA">
              <w:rPr>
                <w:rFonts w:asciiTheme="majorHAnsi" w:hAnsiTheme="majorHAnsi" w:cstheme="majorHAnsi"/>
                <w:b/>
                <w:sz w:val="24"/>
                <w:szCs w:val="24"/>
              </w:rPr>
              <w:t xml:space="preserve">BRCA1, BRCA2, PALB2, CHEK2, TP53, PTEN, STK11, MLH1, MSH2, BMPR1A, APC, EPCAM, MSH6, MUTYH, PMS2, SMAD4, CDKN2A, CDH1, </w:t>
            </w:r>
            <w:r w:rsidRPr="00EF06FA">
              <w:rPr>
                <w:rFonts w:asciiTheme="majorHAnsi" w:eastAsia="Times New Roman" w:hAnsiTheme="majorHAnsi" w:cstheme="majorHAnsi"/>
                <w:b/>
                <w:color w:val="000000"/>
                <w:sz w:val="24"/>
                <w:szCs w:val="24"/>
                <w:lang w:eastAsia="pl-PL"/>
              </w:rPr>
              <w:t>RET, SDHA, SDHAF2, SDHB, SDHC, SDHD, MAX, TMEM127, VHL, EPAS1, FH, NF1, NF2, AIP, PRKAR1A, AP2S1, CASR, CDC73, CDKN1A, CDKN1B, CDKN2B, CDKN2C, GNA11, MEN1, PTH, PTEN.</w:t>
            </w:r>
          </w:p>
          <w:p w14:paraId="2D9F2EB9" w14:textId="6FA50FC3" w:rsidR="006959CD" w:rsidRPr="00EF06FA" w:rsidRDefault="006959CD" w:rsidP="00A129B3">
            <w:pPr>
              <w:jc w:val="both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</w:pPr>
            <w:r w:rsidRPr="00EF06FA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>Proponowany produkt musi być kompatybilny z sekwenatorem MiniSeq/</w:t>
            </w:r>
            <w:r w:rsidR="008039CA" w:rsidRPr="00EF06FA">
              <w:rPr>
                <w:rFonts w:asciiTheme="majorHAnsi" w:hAnsiTheme="majorHAnsi" w:cstheme="majorHAnsi"/>
                <w:sz w:val="24"/>
                <w:szCs w:val="24"/>
              </w:rPr>
              <w:t>MiSeq/</w:t>
            </w:r>
            <w:r w:rsidRPr="00EF06FA">
              <w:rPr>
                <w:rFonts w:asciiTheme="majorHAnsi" w:hAnsiTheme="majorHAnsi" w:cstheme="majorHAnsi"/>
                <w:sz w:val="24"/>
                <w:szCs w:val="24"/>
              </w:rPr>
              <w:t>NextSeq 550Dx</w:t>
            </w:r>
            <w:r w:rsidRPr="00EF06FA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 xml:space="preserve"> Illumina co oznacza, że uzyskana biblioteka może być sekwencjonowana w tym sekwenatorze i nie wymaga zastosowania dodatkowych odczynników lub dodatkowego wyposażenia aparatu aby przystosować bibliotekę do sekwencjonowania z wykorzystaniem ww. aparatu. Wymagane podanie </w:t>
            </w:r>
            <w:r w:rsidR="008039CA" w:rsidRPr="00EF06FA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 xml:space="preserve">szczegółowej </w:t>
            </w:r>
            <w:r w:rsidRPr="00EF06FA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>zawartości zestawu (produkt, ilość, cena jednostkowa</w:t>
            </w:r>
            <w:r w:rsidR="008039CA" w:rsidRPr="00EF06FA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>, które są wymagane podczas składania zamówienia w trakcie trwania umowy</w:t>
            </w:r>
            <w:r w:rsidRPr="00EF06FA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 xml:space="preserve">). </w:t>
            </w:r>
          </w:p>
          <w:p w14:paraId="5212CBCA" w14:textId="77777777" w:rsidR="006959CD" w:rsidRPr="00EF06FA" w:rsidRDefault="006959CD" w:rsidP="00A129B3">
            <w:pPr>
              <w:jc w:val="both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</w:pPr>
            <w:r w:rsidRPr="00EF06FA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lastRenderedPageBreak/>
              <w:t xml:space="preserve">Zamawiający wymaga możliwości zaimplementowania oferowanego zestawu do posiadanej stacji pipetującej Biomek i-7, co może wiązać się z koniecznością zakupu dodatkowych protokołów umożliwiających pracę urządzenia.  Koszty instalacji odpowiedniego protokołu i związanych z tym prac wykonywanych przez firmę Beckman Coulter Life Sciences ponosi dostawca zestawu do przygotowania biblioteki. </w:t>
            </w:r>
          </w:p>
          <w:p w14:paraId="3620D575" w14:textId="27AD9247" w:rsidR="006959CD" w:rsidRPr="00EF06FA" w:rsidRDefault="006959CD" w:rsidP="00A129B3">
            <w:pPr>
              <w:jc w:val="both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</w:pPr>
            <w:r w:rsidRPr="00EF06FA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 xml:space="preserve">Ze względu na opracowany protokół do oceny CNV, Zamawiający zastrzega sobie możliwość przetestowania oferowanych zestawów pod kątem stosowanej analizy CNV. </w:t>
            </w:r>
          </w:p>
          <w:p w14:paraId="24A9B183" w14:textId="77777777" w:rsidR="006959CD" w:rsidRPr="00EF06FA" w:rsidRDefault="006959CD" w:rsidP="00A129B3">
            <w:pPr>
              <w:jc w:val="both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</w:pPr>
            <w:r w:rsidRPr="00EF06FA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 xml:space="preserve">Procedura wykrywania CNV została opracowana w oparciu o próbki analizowane podczas rutynowej diagnostyki z wykorzystaniem stosowanych w Zakładzie zestawów odczynników do przygotowania bibliotek. </w:t>
            </w:r>
          </w:p>
          <w:p w14:paraId="0059FCF3" w14:textId="77777777" w:rsidR="006959CD" w:rsidRPr="00EF06FA" w:rsidRDefault="006959CD" w:rsidP="00A129B3">
            <w:pPr>
              <w:jc w:val="both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</w:pPr>
            <w:r w:rsidRPr="00EF06FA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 xml:space="preserve"> W związku z tym koszty kompletnych odczynników wykorzystanych do walidacji tej metody ponosi oferent („custom” panel dla 96 prób – ze względu na wymagania protokołu do oceny CNV). Dotyczy to Oferentów, których panele „custom hybrid-capture” nie były wcześniej używane w Zakładzie Genetyki Klinicznej i Molekularnej.</w:t>
            </w:r>
          </w:p>
          <w:p w14:paraId="68F30849" w14:textId="1D0BB76C" w:rsidR="006959CD" w:rsidRPr="00EF06FA" w:rsidRDefault="006959CD" w:rsidP="00A129B3">
            <w:pPr>
              <w:jc w:val="both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</w:pPr>
          </w:p>
        </w:tc>
      </w:tr>
      <w:tr w:rsidR="006959CD" w:rsidRPr="00EF06FA" w14:paraId="190A61C6" w14:textId="77777777" w:rsidTr="00A129B3">
        <w:tc>
          <w:tcPr>
            <w:tcW w:w="562" w:type="dxa"/>
          </w:tcPr>
          <w:p w14:paraId="7BD8E628" w14:textId="28C779B8" w:rsidR="006959CD" w:rsidRPr="00EF06FA" w:rsidRDefault="006959CD" w:rsidP="00A129B3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F06FA">
              <w:rPr>
                <w:rFonts w:asciiTheme="majorHAnsi" w:hAnsiTheme="majorHAnsi" w:cstheme="majorHAnsi"/>
                <w:sz w:val="24"/>
                <w:szCs w:val="24"/>
              </w:rPr>
              <w:lastRenderedPageBreak/>
              <w:t>2</w:t>
            </w:r>
          </w:p>
        </w:tc>
        <w:tc>
          <w:tcPr>
            <w:tcW w:w="3828" w:type="dxa"/>
          </w:tcPr>
          <w:p w14:paraId="16FD05BC" w14:textId="1AEF6E08" w:rsidR="008039CA" w:rsidRPr="00EF06FA" w:rsidRDefault="008039CA" w:rsidP="00A129B3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F06FA">
              <w:rPr>
                <w:rFonts w:asciiTheme="majorHAnsi" w:hAnsiTheme="majorHAnsi" w:cstheme="majorHAnsi"/>
                <w:sz w:val="24"/>
                <w:szCs w:val="24"/>
              </w:rPr>
              <w:t>Biblioteki do automatycznego składania kompatybilne z aparatem Magnis NGS Prep System – panel do próbek DNA izolowanych z krwi obwodowej</w:t>
            </w:r>
          </w:p>
          <w:p w14:paraId="1AE67AAD" w14:textId="77777777" w:rsidR="008039CA" w:rsidRPr="00EF06FA" w:rsidRDefault="008039CA" w:rsidP="00A129B3">
            <w:pPr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</w:pPr>
          </w:p>
          <w:p w14:paraId="6B58AB3E" w14:textId="77777777" w:rsidR="006959CD" w:rsidRPr="00EF06FA" w:rsidRDefault="006959CD" w:rsidP="00A129B3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9497" w:type="dxa"/>
          </w:tcPr>
          <w:p w14:paraId="524DEEF5" w14:textId="416CB056" w:rsidR="008039CA" w:rsidRPr="00EF06FA" w:rsidRDefault="008039CA" w:rsidP="00A129B3">
            <w:p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 w:rsidRPr="00EF06FA">
              <w:rPr>
                <w:rFonts w:asciiTheme="majorHAnsi" w:hAnsiTheme="majorHAnsi" w:cstheme="majorHAnsi"/>
                <w:sz w:val="24"/>
                <w:szCs w:val="24"/>
              </w:rPr>
              <w:t>Zestaw do przygotowania wzbogaconej biblioteki kompatybilny z urządzeniem Magnis NGS Prep System. Uzyskane biblioteki muszą być dostosowane do sekwencjonowania metodą nowej generacji (NGS) z zastosowaniem sekwenatorów MiniSeq/MiSeq/NextSeq 550Dx Illumina. Zestaw musi umożliwić oznaczanie zmian w DNA izolowanym z krwi obwodowej. Zestaw powinien posiadać odpowiednią liczbę indeksów, umożliwiającą pulowanie próbek w ilości 48 sztuk podczas jednej reakcji sekwencjonowania. Proponowany produkt w całości powinien umożliwić wykonanie minimum 600 a maksimum 800 reakcji.</w:t>
            </w:r>
          </w:p>
          <w:p w14:paraId="12D505DF" w14:textId="77777777" w:rsidR="008039CA" w:rsidRPr="00EF06FA" w:rsidRDefault="008039CA" w:rsidP="00A129B3">
            <w:p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 w:rsidRPr="00EF06FA">
              <w:rPr>
                <w:rFonts w:asciiTheme="majorHAnsi" w:hAnsiTheme="majorHAnsi" w:cstheme="majorHAnsi"/>
                <w:sz w:val="24"/>
                <w:szCs w:val="24"/>
              </w:rPr>
              <w:t xml:space="preserve">Sondy dla wszystkich eksonów badanych genów powinny być rozmieszczone na zakładki na introny przed i po każdym eksonie o długości zakładki min. 20 bp. </w:t>
            </w:r>
          </w:p>
          <w:p w14:paraId="114EFFD3" w14:textId="77777777" w:rsidR="008039CA" w:rsidRPr="00EF06FA" w:rsidRDefault="008039CA" w:rsidP="00A129B3">
            <w:p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 w:rsidRPr="00EF06FA">
              <w:rPr>
                <w:rFonts w:asciiTheme="majorHAnsi" w:hAnsiTheme="majorHAnsi" w:cstheme="majorHAnsi"/>
                <w:sz w:val="24"/>
                <w:szCs w:val="24"/>
              </w:rPr>
              <w:t xml:space="preserve">Zestaw musi umożliwić sekwencjonowanie minimalnego panelu genów podanego poniżej z możliwością poszerzenia o większą liczbę genów. Zamawiający dopuszcza zarówno gotowy produkt jak i możliwość przygotowania produktu typu „custom” pod warunkiem spełnienia wszystkich wymaganych kryteriów. </w:t>
            </w:r>
          </w:p>
          <w:p w14:paraId="1EB903E4" w14:textId="77777777" w:rsidR="008039CA" w:rsidRPr="00EF06FA" w:rsidRDefault="008039CA" w:rsidP="00A129B3">
            <w:p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 w:rsidRPr="00EF06FA">
              <w:rPr>
                <w:rFonts w:asciiTheme="majorHAnsi" w:hAnsiTheme="majorHAnsi" w:cstheme="majorHAnsi"/>
                <w:sz w:val="24"/>
                <w:szCs w:val="24"/>
              </w:rPr>
              <w:lastRenderedPageBreak/>
              <w:t xml:space="preserve">Zestaw powinien umożliwiać dołożenie sond dla kolejnych genów, aż do łącznego rozmiaru równego min. 450 tysięcy bp. </w:t>
            </w:r>
          </w:p>
          <w:p w14:paraId="3AD70B2F" w14:textId="77777777" w:rsidR="008039CA" w:rsidRPr="00EF06FA" w:rsidRDefault="008039CA" w:rsidP="00A129B3">
            <w:p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 w:rsidRPr="00EF06FA">
              <w:rPr>
                <w:rFonts w:asciiTheme="majorHAnsi" w:hAnsiTheme="majorHAnsi" w:cstheme="majorHAnsi"/>
                <w:sz w:val="24"/>
                <w:szCs w:val="24"/>
              </w:rPr>
              <w:t xml:space="preserve">Oferowany produkt musi zawierać </w:t>
            </w:r>
            <w:r w:rsidRPr="00EF06FA">
              <w:rPr>
                <w:rFonts w:asciiTheme="majorHAnsi" w:hAnsiTheme="majorHAnsi" w:cstheme="majorHAnsi"/>
                <w:b/>
                <w:sz w:val="24"/>
                <w:szCs w:val="24"/>
              </w:rPr>
              <w:t>wszystkie odczynniki oraz materiały</w:t>
            </w:r>
            <w:r w:rsidRPr="00EF06FA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r w:rsidRPr="00EF06FA">
              <w:rPr>
                <w:rFonts w:asciiTheme="majorHAnsi" w:hAnsiTheme="majorHAnsi" w:cstheme="majorHAnsi"/>
                <w:b/>
                <w:sz w:val="24"/>
                <w:szCs w:val="24"/>
              </w:rPr>
              <w:t>zużywalne</w:t>
            </w:r>
            <w:r w:rsidRPr="00EF06FA">
              <w:rPr>
                <w:rFonts w:asciiTheme="majorHAnsi" w:hAnsiTheme="majorHAnsi" w:cstheme="majorHAnsi"/>
                <w:sz w:val="24"/>
                <w:szCs w:val="24"/>
              </w:rPr>
              <w:t xml:space="preserve"> niezbędne do przeprowadzenia reakcji na urządzeniu Magnis.</w:t>
            </w:r>
          </w:p>
          <w:p w14:paraId="66D4DD3E" w14:textId="77777777" w:rsidR="008039CA" w:rsidRPr="00EF06FA" w:rsidRDefault="008039CA" w:rsidP="00A129B3">
            <w:p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 w:rsidRPr="00EF06FA">
              <w:rPr>
                <w:rFonts w:asciiTheme="majorHAnsi" w:hAnsiTheme="majorHAnsi" w:cstheme="majorHAnsi"/>
                <w:sz w:val="24"/>
                <w:szCs w:val="24"/>
              </w:rPr>
              <w:t xml:space="preserve">Oferowany produkt musi umożliwić </w:t>
            </w:r>
            <w:r w:rsidRPr="00EF06FA">
              <w:rPr>
                <w:rFonts w:asciiTheme="majorHAnsi" w:hAnsiTheme="majorHAnsi" w:cstheme="majorHAnsi"/>
                <w:b/>
                <w:sz w:val="24"/>
                <w:szCs w:val="24"/>
              </w:rPr>
              <w:t>analizę danych</w:t>
            </w:r>
            <w:r w:rsidRPr="00EF06FA">
              <w:rPr>
                <w:rFonts w:asciiTheme="majorHAnsi" w:hAnsiTheme="majorHAnsi" w:cstheme="majorHAnsi"/>
                <w:sz w:val="24"/>
                <w:szCs w:val="24"/>
              </w:rPr>
              <w:t xml:space="preserve"> uzyskanych z reakcji sekwencjonowania. </w:t>
            </w:r>
          </w:p>
          <w:p w14:paraId="5680333C" w14:textId="77777777" w:rsidR="008039CA" w:rsidRPr="00EF06FA" w:rsidRDefault="008039CA" w:rsidP="00A129B3">
            <w:pPr>
              <w:jc w:val="both"/>
              <w:rPr>
                <w:rFonts w:asciiTheme="majorHAnsi" w:eastAsia="Times New Roman" w:hAnsiTheme="majorHAnsi" w:cstheme="majorHAnsi"/>
                <w:b/>
                <w:color w:val="000000"/>
                <w:sz w:val="24"/>
                <w:szCs w:val="24"/>
                <w:lang w:eastAsia="pl-PL"/>
              </w:rPr>
            </w:pPr>
            <w:r w:rsidRPr="00EF06FA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 xml:space="preserve">Minimalny zestaw genów przeznaczonych do analizy sekwencji jaki powinien zawierać produkt: </w:t>
            </w:r>
            <w:r w:rsidRPr="00EF06FA">
              <w:rPr>
                <w:rFonts w:asciiTheme="majorHAnsi" w:hAnsiTheme="majorHAnsi" w:cstheme="majorHAnsi"/>
                <w:b/>
                <w:sz w:val="24"/>
                <w:szCs w:val="24"/>
              </w:rPr>
              <w:t xml:space="preserve">BRCA1, BRCA2, PALB2, CHEK2, TP53, PTEN, STK11, MLH1, MSH2, BMPR1A, APC, EPCAM, MSH6, MUTYH, PMS2, SMAD4, CDKN2A, CDH1, </w:t>
            </w:r>
            <w:r w:rsidRPr="00EF06FA">
              <w:rPr>
                <w:rFonts w:asciiTheme="majorHAnsi" w:eastAsia="Times New Roman" w:hAnsiTheme="majorHAnsi" w:cstheme="majorHAnsi"/>
                <w:b/>
                <w:color w:val="000000"/>
                <w:sz w:val="24"/>
                <w:szCs w:val="24"/>
                <w:lang w:eastAsia="pl-PL"/>
              </w:rPr>
              <w:t>RET, SDHA, SDHAF2, SDHB, SDHC, SDHD, MAX, TMEM127, VHL, EPAS1, FH, NF1, NF2, AIP, PRKAR1A, AP2S1, CASR, CDC73, CDKN1A, CDKN1B, CDKN2B, CDKN2C, GNA11, MEN1, PTH, PTEN.</w:t>
            </w:r>
          </w:p>
          <w:p w14:paraId="677A98A3" w14:textId="653E9DC6" w:rsidR="008039CA" w:rsidRPr="00EF06FA" w:rsidRDefault="008039CA" w:rsidP="00A129B3">
            <w:pPr>
              <w:jc w:val="both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EF06FA">
              <w:rPr>
                <w:rFonts w:asciiTheme="majorHAnsi" w:eastAsia="Times New Roman" w:hAnsiTheme="majorHAnsi" w:cstheme="majorHAnsi"/>
                <w:b/>
                <w:color w:val="000000"/>
                <w:sz w:val="24"/>
                <w:szCs w:val="24"/>
                <w:lang w:eastAsia="pl-PL"/>
              </w:rPr>
              <w:t>Zestaw umożliwia dołożenie sond w trakcie trwania umowy w miejscach, które będą wykazywały niższe pokrycie oraz dołożenie sond dla kolejnych genów aż do łącznego rozmiaru panelu równego min 450 tys pz.</w:t>
            </w:r>
          </w:p>
          <w:p w14:paraId="56BA9D20" w14:textId="1661F245" w:rsidR="008039CA" w:rsidRPr="00EF06FA" w:rsidRDefault="008039CA" w:rsidP="00A129B3">
            <w:p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 w:rsidRPr="00EF06FA">
              <w:rPr>
                <w:rFonts w:asciiTheme="majorHAnsi" w:hAnsiTheme="majorHAnsi" w:cstheme="majorHAnsi"/>
                <w:sz w:val="24"/>
                <w:szCs w:val="24"/>
              </w:rPr>
              <w:t xml:space="preserve">Proponowany produkt musi być kompatybilny z sekwenatorem MiniSeq/MiSeq/NextSeq 550Dx Illumina, co oznacza, że uzyskana biblioteka może być sekwencjonowania w tym sekwenatorze i nie wymaga zastosowania dodatkowych odczynników lub dodatkowego wyposażenia aparatu, które umożliwi wykonanie reakcji w w/w urządzeniu. </w:t>
            </w:r>
          </w:p>
          <w:p w14:paraId="502AA6E5" w14:textId="639C245C" w:rsidR="008039CA" w:rsidRPr="00EF06FA" w:rsidRDefault="008039CA" w:rsidP="00A129B3">
            <w:p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 w:rsidRPr="00EF06FA">
              <w:rPr>
                <w:rFonts w:asciiTheme="majorHAnsi" w:hAnsiTheme="majorHAnsi" w:cstheme="majorHAnsi"/>
                <w:sz w:val="24"/>
                <w:szCs w:val="24"/>
              </w:rPr>
              <w:t xml:space="preserve">Wymagane jest podanie </w:t>
            </w:r>
            <w:r w:rsidR="005159CD" w:rsidRPr="00EF06FA">
              <w:rPr>
                <w:rFonts w:asciiTheme="majorHAnsi" w:hAnsiTheme="majorHAnsi" w:cstheme="majorHAnsi"/>
                <w:sz w:val="24"/>
                <w:szCs w:val="24"/>
              </w:rPr>
              <w:t xml:space="preserve">szczegółowej </w:t>
            </w:r>
            <w:r w:rsidRPr="00EF06FA">
              <w:rPr>
                <w:rFonts w:asciiTheme="majorHAnsi" w:hAnsiTheme="majorHAnsi" w:cstheme="majorHAnsi"/>
                <w:sz w:val="24"/>
                <w:szCs w:val="24"/>
              </w:rPr>
              <w:t>zawartości zestawu (produkt, ilość, cena jednostkowa).</w:t>
            </w:r>
          </w:p>
          <w:p w14:paraId="0F5189F8" w14:textId="77777777" w:rsidR="008039CA" w:rsidRPr="00EF06FA" w:rsidRDefault="008039CA" w:rsidP="00A129B3">
            <w:pPr>
              <w:jc w:val="both"/>
              <w:rPr>
                <w:rFonts w:asciiTheme="majorHAnsi" w:eastAsia="Arial Unicode MS" w:hAnsiTheme="majorHAnsi" w:cstheme="majorHAnsi"/>
                <w:sz w:val="24"/>
                <w:szCs w:val="24"/>
                <w:bdr w:val="nil"/>
              </w:rPr>
            </w:pPr>
            <w:r w:rsidRPr="00EF06FA">
              <w:rPr>
                <w:rFonts w:asciiTheme="majorHAnsi" w:eastAsia="Arial Unicode MS" w:hAnsiTheme="majorHAnsi" w:cstheme="majorHAnsi"/>
                <w:sz w:val="24"/>
                <w:szCs w:val="24"/>
                <w:bdr w:val="nil"/>
              </w:rPr>
              <w:t>Zamawiający wymaga zaoferowania okresu gwarancji jakości na dostarczony asortyment nie krótszego niż 6 miesięcy licząc od daty odbioru asortymentu przez Zamawiającego.</w:t>
            </w:r>
          </w:p>
          <w:p w14:paraId="46269C5A" w14:textId="4DB34AE3" w:rsidR="008039CA" w:rsidRPr="00EF06FA" w:rsidRDefault="008039CA" w:rsidP="00A129B3">
            <w:p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 w:rsidRPr="00EF06FA">
              <w:rPr>
                <w:rFonts w:asciiTheme="majorHAnsi" w:eastAsia="Arial Unicode MS" w:hAnsiTheme="majorHAnsi" w:cstheme="majorHAnsi"/>
                <w:sz w:val="24"/>
                <w:szCs w:val="24"/>
                <w:bdr w:val="nil"/>
              </w:rPr>
              <w:t>Wymagane jest pełne wsparcie aplikacyjne dla proponowanego produktu.</w:t>
            </w:r>
          </w:p>
          <w:p w14:paraId="20613746" w14:textId="099C7555" w:rsidR="006959CD" w:rsidRPr="00EF06FA" w:rsidRDefault="006959CD" w:rsidP="00A129B3">
            <w:p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</w:tbl>
    <w:p w14:paraId="3CC3E97B" w14:textId="3644D293" w:rsidR="00811907" w:rsidRPr="00811907" w:rsidRDefault="00811907" w:rsidP="00EF06FA"/>
    <w:sectPr w:rsidR="00811907" w:rsidRPr="00811907" w:rsidSect="00811907">
      <w:headerReference w:type="default" r:id="rId8"/>
      <w:footerReference w:type="default" r:id="rId9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F22EB5C" w14:textId="77777777" w:rsidR="00BE3136" w:rsidRDefault="00BE3136" w:rsidP="006959CD">
      <w:pPr>
        <w:spacing w:after="0" w:line="240" w:lineRule="auto"/>
      </w:pPr>
      <w:r>
        <w:separator/>
      </w:r>
    </w:p>
  </w:endnote>
  <w:endnote w:type="continuationSeparator" w:id="0">
    <w:p w14:paraId="5EB8DBC3" w14:textId="77777777" w:rsidR="00BE3136" w:rsidRDefault="00BE3136" w:rsidP="006959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46263424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F3F035E" w14:textId="796E556E" w:rsidR="006959CD" w:rsidRDefault="006959CD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8E73DE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8E73DE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23D9CD29" w14:textId="77777777" w:rsidR="006959CD" w:rsidRDefault="006959CD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1EA0EA5" w14:textId="77777777" w:rsidR="00BE3136" w:rsidRDefault="00BE3136" w:rsidP="006959CD">
      <w:pPr>
        <w:spacing w:after="0" w:line="240" w:lineRule="auto"/>
      </w:pPr>
      <w:r>
        <w:separator/>
      </w:r>
    </w:p>
  </w:footnote>
  <w:footnote w:type="continuationSeparator" w:id="0">
    <w:p w14:paraId="7AACF01A" w14:textId="77777777" w:rsidR="00BE3136" w:rsidRDefault="00BE3136" w:rsidP="006959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66AF4B" w14:textId="019DACE2" w:rsidR="00A129B3" w:rsidRPr="00EF06FA" w:rsidRDefault="00EF06FA" w:rsidP="00EF06FA">
    <w:pPr>
      <w:spacing w:after="0" w:line="240" w:lineRule="auto"/>
      <w:rPr>
        <w:rFonts w:eastAsia="Times New Roman" w:cstheme="minorHAnsi"/>
        <w:sz w:val="24"/>
        <w:szCs w:val="20"/>
        <w:lang w:eastAsia="pl-PL"/>
      </w:rPr>
    </w:pPr>
    <w:r w:rsidRPr="00EF06FA">
      <w:rPr>
        <w:rFonts w:eastAsia="Times New Roman" w:cstheme="minorHAnsi"/>
        <w:sz w:val="24"/>
        <w:szCs w:val="20"/>
        <w:lang w:eastAsia="pl-PL"/>
      </w:rPr>
      <w:t>Załącznik nr</w:t>
    </w:r>
    <w:r>
      <w:rPr>
        <w:rFonts w:eastAsia="Times New Roman" w:cstheme="minorHAnsi"/>
        <w:sz w:val="24"/>
        <w:szCs w:val="20"/>
        <w:lang w:eastAsia="pl-PL"/>
      </w:rPr>
      <w:t xml:space="preserve"> 1.1 do zapytania nr </w:t>
    </w:r>
    <w:r w:rsidRPr="00EF06FA">
      <w:rPr>
        <w:rFonts w:eastAsia="Times New Roman" w:cstheme="minorHAnsi"/>
        <w:sz w:val="24"/>
        <w:szCs w:val="20"/>
        <w:lang w:eastAsia="pl-PL"/>
      </w:rPr>
      <w:t>DZ/DZ-072-86/26</w:t>
    </w:r>
  </w:p>
  <w:p w14:paraId="2F317B56" w14:textId="77777777" w:rsidR="00A129B3" w:rsidRDefault="00A129B3">
    <w:pPr>
      <w:pStyle w:val="Nagwek"/>
    </w:pPr>
  </w:p>
  <w:p w14:paraId="18555561" w14:textId="77777777" w:rsidR="00A129B3" w:rsidRDefault="00A129B3">
    <w:pPr>
      <w:pStyle w:val="Nagwek"/>
    </w:pPr>
  </w:p>
  <w:p w14:paraId="49138D7E" w14:textId="77777777" w:rsidR="00A129B3" w:rsidRDefault="00A129B3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D86F2D"/>
    <w:multiLevelType w:val="hybridMultilevel"/>
    <w:tmpl w:val="E5A2FE3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29076F"/>
    <w:multiLevelType w:val="hybridMultilevel"/>
    <w:tmpl w:val="E5A2FE3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1907"/>
    <w:rsid w:val="00036D06"/>
    <w:rsid w:val="000A7124"/>
    <w:rsid w:val="00100A91"/>
    <w:rsid w:val="00102D1F"/>
    <w:rsid w:val="00143324"/>
    <w:rsid w:val="00180EA5"/>
    <w:rsid w:val="00230964"/>
    <w:rsid w:val="00280739"/>
    <w:rsid w:val="002A2A07"/>
    <w:rsid w:val="002E0859"/>
    <w:rsid w:val="0030383A"/>
    <w:rsid w:val="003161E0"/>
    <w:rsid w:val="003D0837"/>
    <w:rsid w:val="003F3DE8"/>
    <w:rsid w:val="004551A1"/>
    <w:rsid w:val="00473AEE"/>
    <w:rsid w:val="004C0C5D"/>
    <w:rsid w:val="005159CD"/>
    <w:rsid w:val="00556F40"/>
    <w:rsid w:val="006635EF"/>
    <w:rsid w:val="00671B3C"/>
    <w:rsid w:val="006959CD"/>
    <w:rsid w:val="006F40BE"/>
    <w:rsid w:val="00740DC4"/>
    <w:rsid w:val="007C0CEC"/>
    <w:rsid w:val="008039CA"/>
    <w:rsid w:val="00811907"/>
    <w:rsid w:val="0081758E"/>
    <w:rsid w:val="00884F62"/>
    <w:rsid w:val="008A5786"/>
    <w:rsid w:val="008E73DE"/>
    <w:rsid w:val="00906968"/>
    <w:rsid w:val="00910B21"/>
    <w:rsid w:val="00A129B3"/>
    <w:rsid w:val="00A13EB6"/>
    <w:rsid w:val="00A82550"/>
    <w:rsid w:val="00A84360"/>
    <w:rsid w:val="00BE3136"/>
    <w:rsid w:val="00C02EF9"/>
    <w:rsid w:val="00C53E03"/>
    <w:rsid w:val="00C67E0C"/>
    <w:rsid w:val="00CD440E"/>
    <w:rsid w:val="00DC3C4F"/>
    <w:rsid w:val="00DD09C7"/>
    <w:rsid w:val="00DD5F23"/>
    <w:rsid w:val="00E0772A"/>
    <w:rsid w:val="00E732FF"/>
    <w:rsid w:val="00E95B9E"/>
    <w:rsid w:val="00ED56E4"/>
    <w:rsid w:val="00EE6AB9"/>
    <w:rsid w:val="00EF06FA"/>
    <w:rsid w:val="00F14E53"/>
    <w:rsid w:val="00F904D9"/>
    <w:rsid w:val="00FB4D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135362"/>
  <w15:chartTrackingRefBased/>
  <w15:docId w15:val="{3B8C5E7E-F330-45ED-93D4-C358FF36A5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039C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8119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14332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4332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4332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4332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4332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4332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43324"/>
    <w:rPr>
      <w:rFonts w:ascii="Segoe UI" w:hAnsi="Segoe UI" w:cs="Segoe UI"/>
      <w:sz w:val="18"/>
      <w:szCs w:val="18"/>
    </w:rPr>
  </w:style>
  <w:style w:type="paragraph" w:styleId="Poprawka">
    <w:name w:val="Revision"/>
    <w:hidden/>
    <w:uiPriority w:val="99"/>
    <w:semiHidden/>
    <w:rsid w:val="00102D1F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6959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959CD"/>
  </w:style>
  <w:style w:type="paragraph" w:styleId="Stopka">
    <w:name w:val="footer"/>
    <w:basedOn w:val="Normalny"/>
    <w:link w:val="StopkaZnak"/>
    <w:uiPriority w:val="99"/>
    <w:unhideWhenUsed/>
    <w:rsid w:val="006959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959CD"/>
  </w:style>
  <w:style w:type="paragraph" w:styleId="Akapitzlist">
    <w:name w:val="List Paragraph"/>
    <w:basedOn w:val="Normalny"/>
    <w:uiPriority w:val="34"/>
    <w:qFormat/>
    <w:rsid w:val="005159C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692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5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D5208D-B05B-4710-B570-280085AA3C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884</Words>
  <Characters>5306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Jadwiga Żebracka-Gala</dc:creator>
  <cp:keywords/>
  <dc:description/>
  <cp:lastModifiedBy>Magdalena Filipek</cp:lastModifiedBy>
  <cp:revision>2</cp:revision>
  <cp:lastPrinted>2023-09-28T05:40:00Z</cp:lastPrinted>
  <dcterms:created xsi:type="dcterms:W3CDTF">2026-04-08T09:13:00Z</dcterms:created>
  <dcterms:modified xsi:type="dcterms:W3CDTF">2026-04-08T09:13:00Z</dcterms:modified>
</cp:coreProperties>
</file>